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95" w:type="dxa"/>
        <w:tblLook w:val="04A0" w:firstRow="1" w:lastRow="0" w:firstColumn="1" w:lastColumn="0" w:noHBand="0" w:noVBand="1"/>
      </w:tblPr>
      <w:tblGrid>
        <w:gridCol w:w="1175"/>
        <w:gridCol w:w="5300"/>
        <w:gridCol w:w="2970"/>
        <w:gridCol w:w="4050"/>
      </w:tblGrid>
      <w:tr w:rsidR="00D552D9" w14:paraId="296D538B" w14:textId="77777777" w:rsidTr="00CD1AD3">
        <w:trPr>
          <w:tblHeader/>
        </w:trPr>
        <w:tc>
          <w:tcPr>
            <w:tcW w:w="1175" w:type="dxa"/>
            <w:shd w:val="clear" w:color="auto" w:fill="D9E2F3" w:themeFill="accent5" w:themeFillTint="33"/>
          </w:tcPr>
          <w:p w14:paraId="40340FFA" w14:textId="77777777" w:rsidR="00D552D9" w:rsidRPr="007775FC" w:rsidRDefault="00D552D9">
            <w:pPr>
              <w:rPr>
                <w:rFonts w:ascii="Arial" w:hAnsi="Arial" w:cs="Arial"/>
                <w:sz w:val="20"/>
                <w:szCs w:val="20"/>
              </w:rPr>
            </w:pPr>
            <w:r w:rsidRPr="007775FC">
              <w:rPr>
                <w:rFonts w:ascii="Arial" w:hAnsi="Arial" w:cs="Arial"/>
                <w:sz w:val="20"/>
                <w:szCs w:val="20"/>
              </w:rPr>
              <w:t>Section #</w:t>
            </w:r>
          </w:p>
        </w:tc>
        <w:tc>
          <w:tcPr>
            <w:tcW w:w="5300" w:type="dxa"/>
            <w:shd w:val="clear" w:color="auto" w:fill="D9E2F3" w:themeFill="accent5" w:themeFillTint="33"/>
          </w:tcPr>
          <w:p w14:paraId="2855C2C3" w14:textId="64D58FF8" w:rsidR="00D552D9" w:rsidRPr="007775FC" w:rsidRDefault="00D552D9" w:rsidP="007775FC">
            <w:pPr>
              <w:rPr>
                <w:rFonts w:ascii="Arial" w:hAnsi="Arial" w:cs="Arial"/>
                <w:sz w:val="20"/>
                <w:szCs w:val="20"/>
              </w:rPr>
            </w:pPr>
            <w:r w:rsidRPr="007775FC">
              <w:rPr>
                <w:rFonts w:ascii="Arial" w:hAnsi="Arial" w:cs="Arial"/>
                <w:sz w:val="20"/>
                <w:szCs w:val="20"/>
              </w:rPr>
              <w:t xml:space="preserve">CAISO’s </w:t>
            </w:r>
            <w:r w:rsidR="007775FC" w:rsidRPr="007775FC">
              <w:rPr>
                <w:rFonts w:ascii="Arial" w:hAnsi="Arial" w:cs="Arial"/>
                <w:sz w:val="20"/>
                <w:szCs w:val="20"/>
              </w:rPr>
              <w:t>R</w:t>
            </w:r>
            <w:r w:rsidR="00E00029" w:rsidRPr="007775FC">
              <w:rPr>
                <w:rFonts w:ascii="Arial" w:hAnsi="Arial" w:cs="Arial"/>
                <w:sz w:val="20"/>
                <w:szCs w:val="20"/>
              </w:rPr>
              <w:t xml:space="preserve">eply to Stakeholder </w:t>
            </w:r>
            <w:r w:rsidRPr="007775FC">
              <w:rPr>
                <w:rFonts w:ascii="Arial" w:hAnsi="Arial" w:cs="Arial"/>
                <w:sz w:val="20"/>
                <w:szCs w:val="20"/>
              </w:rPr>
              <w:t>comment</w:t>
            </w:r>
            <w:r w:rsidR="00E00029" w:rsidRPr="007775FC">
              <w:rPr>
                <w:rFonts w:ascii="Arial" w:hAnsi="Arial" w:cs="Arial"/>
                <w:sz w:val="20"/>
                <w:szCs w:val="20"/>
              </w:rPr>
              <w:t xml:space="preserve">s </w:t>
            </w:r>
            <w:r w:rsidR="007775FC">
              <w:rPr>
                <w:rFonts w:ascii="Arial" w:hAnsi="Arial" w:cs="Arial"/>
                <w:sz w:val="20"/>
                <w:szCs w:val="20"/>
              </w:rPr>
              <w:t xml:space="preserve">on </w:t>
            </w:r>
            <w:r w:rsidRPr="007775FC">
              <w:rPr>
                <w:rFonts w:ascii="Arial" w:hAnsi="Arial" w:cs="Arial"/>
                <w:sz w:val="20"/>
                <w:szCs w:val="20"/>
              </w:rPr>
              <w:t>BPM for G</w:t>
            </w:r>
            <w:r w:rsidR="00425C25" w:rsidRPr="007775FC">
              <w:rPr>
                <w:rFonts w:ascii="Arial" w:hAnsi="Arial" w:cs="Arial"/>
                <w:sz w:val="20"/>
                <w:szCs w:val="20"/>
              </w:rPr>
              <w:t xml:space="preserve">enerator </w:t>
            </w:r>
            <w:r w:rsidRPr="007775FC">
              <w:rPr>
                <w:rFonts w:ascii="Arial" w:hAnsi="Arial" w:cs="Arial"/>
                <w:sz w:val="20"/>
                <w:szCs w:val="20"/>
              </w:rPr>
              <w:t>M</w:t>
            </w:r>
            <w:r w:rsidR="00425C25" w:rsidRPr="007775FC">
              <w:rPr>
                <w:rFonts w:ascii="Arial" w:hAnsi="Arial" w:cs="Arial"/>
                <w:sz w:val="20"/>
                <w:szCs w:val="20"/>
              </w:rPr>
              <w:t>anagement</w:t>
            </w:r>
            <w:r w:rsidR="007775FC" w:rsidRPr="007775FC">
              <w:rPr>
                <w:rFonts w:ascii="Arial" w:hAnsi="Arial" w:cs="Arial"/>
                <w:sz w:val="20"/>
                <w:szCs w:val="20"/>
              </w:rPr>
              <w:t xml:space="preserve"> 6/28/2019</w:t>
            </w:r>
          </w:p>
        </w:tc>
        <w:tc>
          <w:tcPr>
            <w:tcW w:w="2970" w:type="dxa"/>
            <w:shd w:val="clear" w:color="auto" w:fill="D9E2F3" w:themeFill="accent5" w:themeFillTint="33"/>
          </w:tcPr>
          <w:p w14:paraId="7D1D7D9D" w14:textId="0577327A" w:rsidR="00D552D9" w:rsidRPr="007775FC" w:rsidRDefault="002719C1" w:rsidP="007775FC">
            <w:pPr>
              <w:rPr>
                <w:rFonts w:ascii="Arial" w:hAnsi="Arial" w:cs="Arial"/>
                <w:sz w:val="20"/>
                <w:szCs w:val="20"/>
              </w:rPr>
            </w:pPr>
            <w:r w:rsidRPr="007775FC">
              <w:rPr>
                <w:rFonts w:ascii="Arial" w:hAnsi="Arial" w:cs="Arial"/>
                <w:sz w:val="20"/>
                <w:szCs w:val="20"/>
              </w:rPr>
              <w:t>S</w:t>
            </w:r>
            <w:r w:rsidR="00425C25" w:rsidRPr="007775FC">
              <w:rPr>
                <w:rFonts w:ascii="Arial" w:hAnsi="Arial" w:cs="Arial"/>
                <w:sz w:val="20"/>
                <w:szCs w:val="20"/>
              </w:rPr>
              <w:t>takeholder’s</w:t>
            </w:r>
            <w:r w:rsidRPr="007775FC">
              <w:rPr>
                <w:rFonts w:ascii="Arial" w:hAnsi="Arial" w:cs="Arial"/>
                <w:sz w:val="20"/>
                <w:szCs w:val="20"/>
              </w:rPr>
              <w:t xml:space="preserve"> </w:t>
            </w:r>
            <w:r w:rsidR="00D552D9" w:rsidRPr="007775FC">
              <w:rPr>
                <w:rFonts w:ascii="Arial" w:hAnsi="Arial" w:cs="Arial"/>
                <w:sz w:val="20"/>
                <w:szCs w:val="20"/>
              </w:rPr>
              <w:t>Reply 7/16/2019</w:t>
            </w:r>
          </w:p>
        </w:tc>
        <w:tc>
          <w:tcPr>
            <w:tcW w:w="4050" w:type="dxa"/>
            <w:shd w:val="clear" w:color="auto" w:fill="D9E2F3" w:themeFill="accent5" w:themeFillTint="33"/>
          </w:tcPr>
          <w:p w14:paraId="6F68FAE0" w14:textId="7238BA7C" w:rsidR="00D552D9" w:rsidRPr="007775FC" w:rsidRDefault="00D552D9" w:rsidP="007775FC">
            <w:pPr>
              <w:rPr>
                <w:rFonts w:ascii="Arial" w:hAnsi="Arial" w:cs="Arial"/>
                <w:sz w:val="20"/>
                <w:szCs w:val="20"/>
              </w:rPr>
            </w:pPr>
            <w:r w:rsidRPr="007775FC">
              <w:rPr>
                <w:rFonts w:ascii="Arial" w:hAnsi="Arial" w:cs="Arial"/>
                <w:sz w:val="20"/>
                <w:szCs w:val="20"/>
              </w:rPr>
              <w:t>CAISO’s Response</w:t>
            </w:r>
            <w:r w:rsidR="003A46DE" w:rsidRPr="007775FC">
              <w:rPr>
                <w:rFonts w:ascii="Arial" w:hAnsi="Arial" w:cs="Arial"/>
                <w:sz w:val="20"/>
                <w:szCs w:val="20"/>
              </w:rPr>
              <w:t xml:space="preserve"> 7/30/2019</w:t>
            </w:r>
          </w:p>
        </w:tc>
      </w:tr>
      <w:tr w:rsidR="001011F7" w14:paraId="0D9DD389" w14:textId="77777777" w:rsidTr="007775FC">
        <w:trPr>
          <w:trHeight w:val="3302"/>
        </w:trPr>
        <w:tc>
          <w:tcPr>
            <w:tcW w:w="1175" w:type="dxa"/>
          </w:tcPr>
          <w:p w14:paraId="295BA38E" w14:textId="77406BD0" w:rsidR="001011F7" w:rsidRPr="007775FC" w:rsidRDefault="002433C8" w:rsidP="001011F7">
            <w:pPr>
              <w:rPr>
                <w:rFonts w:ascii="Arial" w:hAnsi="Arial" w:cs="Arial"/>
                <w:sz w:val="20"/>
                <w:szCs w:val="20"/>
              </w:rPr>
            </w:pPr>
            <w:r w:rsidRPr="007775FC">
              <w:rPr>
                <w:rFonts w:ascii="Arial" w:hAnsi="Arial" w:cs="Arial"/>
                <w:sz w:val="20"/>
                <w:szCs w:val="20"/>
              </w:rPr>
              <w:t>6.1.4</w:t>
            </w:r>
          </w:p>
        </w:tc>
        <w:tc>
          <w:tcPr>
            <w:tcW w:w="5300" w:type="dxa"/>
          </w:tcPr>
          <w:p w14:paraId="3B9E3728" w14:textId="11EB5783" w:rsidR="001011F7" w:rsidRPr="007775FC" w:rsidRDefault="001011F7" w:rsidP="001011F7">
            <w:pPr>
              <w:pStyle w:val="CommentText"/>
              <w:rPr>
                <w:rFonts w:cs="Arial"/>
              </w:rPr>
            </w:pPr>
            <w:r w:rsidRPr="007775FC">
              <w:rPr>
                <w:rFonts w:cs="Arial"/>
              </w:rPr>
              <w:t xml:space="preserve">“Substantial change” is used to describe repowers allowable under 25.1.2 of the tariff, so we will not use it </w:t>
            </w:r>
            <w:r w:rsidR="00E00029" w:rsidRPr="007775FC">
              <w:rPr>
                <w:rFonts w:cs="Arial"/>
              </w:rPr>
              <w:t xml:space="preserve">in this section of the BPM </w:t>
            </w:r>
            <w:r w:rsidRPr="007775FC">
              <w:rPr>
                <w:rFonts w:cs="Arial"/>
              </w:rPr>
              <w:t>in order to avoid confusion.  All changes after the time in queue are subject to commercial viability, except those items designated below as insubstantial.</w:t>
            </w:r>
          </w:p>
          <w:p w14:paraId="3FB6D8B1" w14:textId="77777777" w:rsidR="001011F7" w:rsidRPr="007775FC" w:rsidRDefault="001011F7" w:rsidP="001011F7">
            <w:pPr>
              <w:rPr>
                <w:rFonts w:ascii="Arial" w:hAnsi="Arial" w:cs="Arial"/>
                <w:sz w:val="20"/>
                <w:szCs w:val="20"/>
              </w:rPr>
            </w:pPr>
            <w:r w:rsidRPr="007775FC">
              <w:rPr>
                <w:rFonts w:ascii="Arial" w:hAnsi="Arial" w:cs="Arial"/>
                <w:sz w:val="20"/>
                <w:szCs w:val="20"/>
              </w:rPr>
              <w:t xml:space="preserve">FERC approved CAISO’s proposed usage of “insubstantial change” to describe the changes that are not subject to commercial viability (page 12 of their February 19, 2019 order accepting the 2018 IPE changes).  The use of “insubstantial change” to describe exceptions does not predicate that we must term all other changes “substantial”.  </w:t>
            </w:r>
          </w:p>
        </w:tc>
        <w:tc>
          <w:tcPr>
            <w:tcW w:w="2970" w:type="dxa"/>
          </w:tcPr>
          <w:p w14:paraId="64A3CC00" w14:textId="77777777" w:rsidR="001011F7" w:rsidRPr="007775FC" w:rsidRDefault="001011F7" w:rsidP="001011F7">
            <w:pPr>
              <w:pStyle w:val="CommentText"/>
              <w:rPr>
                <w:rFonts w:cs="Arial"/>
              </w:rPr>
            </w:pPr>
            <w:r w:rsidRPr="007775FC">
              <w:rPr>
                <w:rFonts w:cs="Arial"/>
              </w:rPr>
              <w:t>Referring to the CAISO response above:  Really, you are saying that changes that are not insubstantial are not necessarily substantial?  What else would they be?</w:t>
            </w:r>
          </w:p>
          <w:p w14:paraId="7AD603B3" w14:textId="77777777" w:rsidR="001011F7" w:rsidRPr="007775FC" w:rsidRDefault="001011F7" w:rsidP="001011F7">
            <w:pPr>
              <w:rPr>
                <w:rFonts w:ascii="Arial" w:hAnsi="Arial" w:cs="Arial"/>
                <w:sz w:val="20"/>
                <w:szCs w:val="20"/>
              </w:rPr>
            </w:pPr>
            <w:r w:rsidRPr="007775FC">
              <w:rPr>
                <w:rFonts w:ascii="Arial" w:hAnsi="Arial" w:cs="Arial"/>
                <w:sz w:val="20"/>
                <w:szCs w:val="20"/>
              </w:rPr>
              <w:t>In any case, using your terminology, see if this will work.  The language should include something about the “exceptions,” whatever you call them.</w:t>
            </w:r>
          </w:p>
        </w:tc>
        <w:tc>
          <w:tcPr>
            <w:tcW w:w="4050" w:type="dxa"/>
          </w:tcPr>
          <w:p w14:paraId="7F58D2D9" w14:textId="0C89020D" w:rsidR="001011F7" w:rsidRPr="007775FC" w:rsidRDefault="001011F7" w:rsidP="00E00029">
            <w:pPr>
              <w:pStyle w:val="CommentText"/>
              <w:rPr>
                <w:rFonts w:cs="Arial"/>
              </w:rPr>
            </w:pPr>
            <w:r w:rsidRPr="007775FC">
              <w:rPr>
                <w:rFonts w:cs="Arial"/>
              </w:rPr>
              <w:t xml:space="preserve">The “exceptions” are </w:t>
            </w:r>
            <w:r w:rsidR="001F1B04" w:rsidRPr="007775FC">
              <w:rPr>
                <w:rFonts w:cs="Arial"/>
              </w:rPr>
              <w:t>detailed</w:t>
            </w:r>
            <w:r w:rsidRPr="007775FC">
              <w:rPr>
                <w:rFonts w:cs="Arial"/>
              </w:rPr>
              <w:t xml:space="preserve"> in the sentence</w:t>
            </w:r>
            <w:r w:rsidR="001F1B04" w:rsidRPr="007775FC">
              <w:rPr>
                <w:rFonts w:cs="Arial"/>
              </w:rPr>
              <w:t xml:space="preserve"> that follows the one with the</w:t>
            </w:r>
            <w:r w:rsidR="00E00029" w:rsidRPr="007775FC">
              <w:rPr>
                <w:rFonts w:cs="Arial"/>
              </w:rPr>
              <w:t xml:space="preserve"> Stakeholder’s</w:t>
            </w:r>
            <w:r w:rsidR="001F1B04" w:rsidRPr="007775FC">
              <w:rPr>
                <w:rFonts w:cs="Arial"/>
              </w:rPr>
              <w:t xml:space="preserve"> proposed edit</w:t>
            </w:r>
            <w:r w:rsidRPr="007775FC">
              <w:rPr>
                <w:rFonts w:cs="Arial"/>
              </w:rPr>
              <w:t xml:space="preserve">.  It would be redundant to address </w:t>
            </w:r>
            <w:r w:rsidR="00E00029" w:rsidRPr="007775FC">
              <w:rPr>
                <w:rFonts w:cs="Arial"/>
              </w:rPr>
              <w:t xml:space="preserve">the exceptions </w:t>
            </w:r>
            <w:r w:rsidRPr="007775FC">
              <w:rPr>
                <w:rFonts w:cs="Arial"/>
              </w:rPr>
              <w:t xml:space="preserve">in </w:t>
            </w:r>
            <w:r w:rsidR="001F1B04" w:rsidRPr="007775FC">
              <w:rPr>
                <w:rFonts w:cs="Arial"/>
              </w:rPr>
              <w:t>both</w:t>
            </w:r>
            <w:r w:rsidRPr="007775FC">
              <w:rPr>
                <w:rFonts w:cs="Arial"/>
              </w:rPr>
              <w:t xml:space="preserve"> sentence</w:t>
            </w:r>
            <w:r w:rsidR="001F1B04" w:rsidRPr="007775FC">
              <w:rPr>
                <w:rFonts w:cs="Arial"/>
              </w:rPr>
              <w:t>s.</w:t>
            </w:r>
          </w:p>
        </w:tc>
      </w:tr>
      <w:tr w:rsidR="001011F7" w14:paraId="04EDDCA1" w14:textId="77777777" w:rsidTr="00CD1AD3">
        <w:tc>
          <w:tcPr>
            <w:tcW w:w="1175" w:type="dxa"/>
          </w:tcPr>
          <w:p w14:paraId="760CAA87" w14:textId="77777777" w:rsidR="001011F7" w:rsidRPr="007775FC" w:rsidRDefault="001011F7" w:rsidP="001011F7">
            <w:pPr>
              <w:rPr>
                <w:rFonts w:ascii="Arial" w:hAnsi="Arial" w:cs="Arial"/>
                <w:sz w:val="20"/>
                <w:szCs w:val="20"/>
              </w:rPr>
            </w:pPr>
            <w:r w:rsidRPr="007775FC">
              <w:rPr>
                <w:rFonts w:ascii="Arial" w:hAnsi="Arial" w:cs="Arial"/>
                <w:sz w:val="20"/>
                <w:szCs w:val="20"/>
              </w:rPr>
              <w:t>6.1.4.4</w:t>
            </w:r>
          </w:p>
        </w:tc>
        <w:tc>
          <w:tcPr>
            <w:tcW w:w="5300" w:type="dxa"/>
          </w:tcPr>
          <w:p w14:paraId="5EF6EA5D" w14:textId="2278EB1B" w:rsidR="00727C6A" w:rsidRPr="007775FC" w:rsidRDefault="001011F7" w:rsidP="00FA1DDA">
            <w:pPr>
              <w:rPr>
                <w:rFonts w:ascii="Arial" w:hAnsi="Arial" w:cs="Arial"/>
                <w:sz w:val="20"/>
                <w:szCs w:val="20"/>
              </w:rPr>
            </w:pPr>
            <w:r w:rsidRPr="007775FC">
              <w:rPr>
                <w:rFonts w:ascii="Arial" w:hAnsi="Arial" w:cs="Arial"/>
                <w:sz w:val="20"/>
                <w:szCs w:val="20"/>
              </w:rPr>
              <w:t xml:space="preserve">Add “where required” to describe requirements for annual review to confirm commercial viability criteria is maintained. </w:t>
            </w:r>
          </w:p>
          <w:p w14:paraId="753EF66C" w14:textId="77777777" w:rsidR="00727C6A" w:rsidRPr="007775FC" w:rsidRDefault="00727C6A" w:rsidP="00727C6A">
            <w:pPr>
              <w:rPr>
                <w:rFonts w:ascii="Arial" w:hAnsi="Arial" w:cs="Arial"/>
                <w:sz w:val="20"/>
                <w:szCs w:val="20"/>
              </w:rPr>
            </w:pPr>
          </w:p>
          <w:p w14:paraId="5F12042C" w14:textId="77777777" w:rsidR="00727C6A" w:rsidRPr="007775FC" w:rsidRDefault="00727C6A" w:rsidP="00727C6A">
            <w:pPr>
              <w:rPr>
                <w:rFonts w:ascii="Arial" w:hAnsi="Arial" w:cs="Arial"/>
                <w:sz w:val="20"/>
                <w:szCs w:val="20"/>
              </w:rPr>
            </w:pPr>
          </w:p>
          <w:p w14:paraId="44F2E09B" w14:textId="77777777" w:rsidR="00727C6A" w:rsidRPr="007775FC" w:rsidRDefault="00727C6A" w:rsidP="00727C6A">
            <w:pPr>
              <w:rPr>
                <w:rFonts w:ascii="Arial" w:hAnsi="Arial" w:cs="Arial"/>
                <w:sz w:val="20"/>
                <w:szCs w:val="20"/>
              </w:rPr>
            </w:pPr>
          </w:p>
          <w:p w14:paraId="6320D405" w14:textId="77777777" w:rsidR="00727C6A" w:rsidRPr="007775FC" w:rsidRDefault="00727C6A" w:rsidP="00727C6A">
            <w:pPr>
              <w:rPr>
                <w:rFonts w:ascii="Arial" w:hAnsi="Arial" w:cs="Arial"/>
                <w:sz w:val="20"/>
                <w:szCs w:val="20"/>
              </w:rPr>
            </w:pPr>
          </w:p>
          <w:p w14:paraId="336FCCAD" w14:textId="77777777" w:rsidR="00727C6A" w:rsidRPr="007775FC" w:rsidRDefault="00727C6A" w:rsidP="00727C6A">
            <w:pPr>
              <w:rPr>
                <w:rFonts w:ascii="Arial" w:hAnsi="Arial" w:cs="Arial"/>
                <w:sz w:val="20"/>
                <w:szCs w:val="20"/>
              </w:rPr>
            </w:pPr>
          </w:p>
          <w:p w14:paraId="575DEA21" w14:textId="77777777" w:rsidR="00727C6A" w:rsidRPr="007775FC" w:rsidRDefault="00727C6A" w:rsidP="00727C6A">
            <w:pPr>
              <w:rPr>
                <w:rFonts w:ascii="Arial" w:hAnsi="Arial" w:cs="Arial"/>
                <w:sz w:val="20"/>
                <w:szCs w:val="20"/>
              </w:rPr>
            </w:pPr>
          </w:p>
          <w:p w14:paraId="72860881" w14:textId="5D431C7C" w:rsidR="001011F7" w:rsidRPr="007775FC" w:rsidRDefault="001011F7" w:rsidP="00727C6A">
            <w:pPr>
              <w:rPr>
                <w:rFonts w:ascii="Arial" w:hAnsi="Arial" w:cs="Arial"/>
                <w:sz w:val="20"/>
                <w:szCs w:val="20"/>
              </w:rPr>
            </w:pPr>
          </w:p>
        </w:tc>
        <w:tc>
          <w:tcPr>
            <w:tcW w:w="2970" w:type="dxa"/>
          </w:tcPr>
          <w:p w14:paraId="032041C5" w14:textId="77777777" w:rsidR="001011F7" w:rsidRPr="007775FC" w:rsidRDefault="001011F7" w:rsidP="00AC3901">
            <w:pPr>
              <w:pStyle w:val="CommentText"/>
              <w:jc w:val="left"/>
              <w:rPr>
                <w:rFonts w:cs="Arial"/>
              </w:rPr>
            </w:pPr>
            <w:r w:rsidRPr="007775FC">
              <w:rPr>
                <w:rFonts w:cs="Arial"/>
              </w:rPr>
              <w:t xml:space="preserve">Consistent with your modification above. </w:t>
            </w:r>
          </w:p>
          <w:p w14:paraId="4189CC39" w14:textId="00A3BC2D" w:rsidR="001011F7" w:rsidRPr="007775FC" w:rsidRDefault="001011F7" w:rsidP="001011F7">
            <w:pPr>
              <w:rPr>
                <w:rFonts w:ascii="Arial" w:hAnsi="Arial" w:cs="Arial"/>
                <w:sz w:val="20"/>
                <w:szCs w:val="20"/>
              </w:rPr>
            </w:pPr>
          </w:p>
        </w:tc>
        <w:tc>
          <w:tcPr>
            <w:tcW w:w="4050" w:type="dxa"/>
          </w:tcPr>
          <w:p w14:paraId="7B71DD84" w14:textId="784823E1" w:rsidR="001011F7" w:rsidRPr="007775FC" w:rsidRDefault="001011F7" w:rsidP="00727C6A">
            <w:pPr>
              <w:rPr>
                <w:rFonts w:ascii="Arial" w:hAnsi="Arial" w:cs="Arial"/>
                <w:sz w:val="20"/>
                <w:szCs w:val="20"/>
              </w:rPr>
            </w:pPr>
            <w:r w:rsidRPr="007775FC">
              <w:rPr>
                <w:rFonts w:ascii="Arial" w:hAnsi="Arial" w:cs="Arial"/>
                <w:sz w:val="20"/>
                <w:szCs w:val="20"/>
              </w:rPr>
              <w:t>There are no conditions that would eliminate the requirement for an annual review that commercial viability criteria is maintained.  Even if a project is in the one year exception period associated with not having a PPA, the annual review for verification that all other criteria continues to be met</w:t>
            </w:r>
            <w:r w:rsidR="001F1B04" w:rsidRPr="007775FC">
              <w:rPr>
                <w:rFonts w:ascii="Arial" w:hAnsi="Arial" w:cs="Arial"/>
                <w:sz w:val="20"/>
                <w:szCs w:val="20"/>
              </w:rPr>
              <w:t xml:space="preserve"> is still applicable</w:t>
            </w:r>
            <w:r w:rsidRPr="007775FC">
              <w:rPr>
                <w:rFonts w:ascii="Arial" w:hAnsi="Arial" w:cs="Arial"/>
                <w:sz w:val="20"/>
                <w:szCs w:val="20"/>
              </w:rPr>
              <w:t>.</w:t>
            </w:r>
            <w:r w:rsidR="00FA1DDA" w:rsidRPr="007775FC">
              <w:rPr>
                <w:rFonts w:ascii="Arial" w:hAnsi="Arial" w:cs="Arial"/>
                <w:sz w:val="20"/>
                <w:szCs w:val="20"/>
              </w:rPr>
              <w:t xml:space="preserve">  </w:t>
            </w:r>
          </w:p>
        </w:tc>
      </w:tr>
      <w:tr w:rsidR="001011F7" w14:paraId="619F41CC" w14:textId="77777777" w:rsidTr="00CD1AD3">
        <w:trPr>
          <w:trHeight w:val="3221"/>
        </w:trPr>
        <w:tc>
          <w:tcPr>
            <w:tcW w:w="1175" w:type="dxa"/>
          </w:tcPr>
          <w:p w14:paraId="54268EBA" w14:textId="7FB6B90F" w:rsidR="001011F7" w:rsidRPr="007775FC" w:rsidRDefault="001011F7" w:rsidP="001011F7">
            <w:pPr>
              <w:rPr>
                <w:rFonts w:ascii="Arial" w:hAnsi="Arial" w:cs="Arial"/>
                <w:sz w:val="20"/>
                <w:szCs w:val="20"/>
              </w:rPr>
            </w:pPr>
            <w:r w:rsidRPr="007775FC">
              <w:rPr>
                <w:rFonts w:ascii="Arial" w:hAnsi="Arial" w:cs="Arial"/>
                <w:sz w:val="20"/>
                <w:szCs w:val="20"/>
              </w:rPr>
              <w:lastRenderedPageBreak/>
              <w:t>10.4</w:t>
            </w:r>
          </w:p>
        </w:tc>
        <w:tc>
          <w:tcPr>
            <w:tcW w:w="5300" w:type="dxa"/>
          </w:tcPr>
          <w:p w14:paraId="663E45F7" w14:textId="77777777" w:rsidR="001011F7" w:rsidRPr="007775FC" w:rsidRDefault="001011F7" w:rsidP="001011F7">
            <w:pPr>
              <w:pStyle w:val="CommentText"/>
              <w:rPr>
                <w:rFonts w:cs="Arial"/>
              </w:rPr>
            </w:pPr>
            <w:r w:rsidRPr="007775FC">
              <w:rPr>
                <w:rFonts w:cs="Arial"/>
              </w:rPr>
              <w:t>This requirement was included in the proposal and the FERC filing.  Please see page 14 of the transmittal letter and Article 5.16 of the LGIA.  Updated the language to provide clarification that the intent is to allow for the execution of the amendment prior to the end of suspension but not require it.</w:t>
            </w:r>
          </w:p>
          <w:p w14:paraId="7E0F111C" w14:textId="77777777" w:rsidR="001011F7" w:rsidRPr="007775FC" w:rsidRDefault="001011F7" w:rsidP="001011F7">
            <w:pPr>
              <w:rPr>
                <w:rFonts w:ascii="Arial" w:hAnsi="Arial" w:cs="Arial"/>
                <w:sz w:val="20"/>
                <w:szCs w:val="20"/>
              </w:rPr>
            </w:pPr>
            <w:bookmarkStart w:id="0" w:name="_Hlk13344457"/>
            <w:r w:rsidRPr="007775FC">
              <w:rPr>
                <w:rFonts w:ascii="Arial" w:hAnsi="Arial" w:cs="Arial"/>
                <w:sz w:val="20"/>
                <w:szCs w:val="20"/>
              </w:rPr>
              <w:t>If the GIA is not executed by suspension’s end, the parties will evaluate whether they are likely to finish negotiations soon, or an unexecuted filing is prudent.  They can continue to negotiate after the suspension’s end if they think it would be shorter than an unexecuted proceeding.</w:t>
            </w:r>
            <w:bookmarkEnd w:id="0"/>
          </w:p>
        </w:tc>
        <w:tc>
          <w:tcPr>
            <w:tcW w:w="2970" w:type="dxa"/>
          </w:tcPr>
          <w:p w14:paraId="23104D18" w14:textId="77777777" w:rsidR="001011F7" w:rsidRPr="007775FC" w:rsidRDefault="001011F7" w:rsidP="001011F7">
            <w:pPr>
              <w:rPr>
                <w:rFonts w:ascii="Arial" w:hAnsi="Arial" w:cs="Arial"/>
                <w:sz w:val="20"/>
                <w:szCs w:val="20"/>
              </w:rPr>
            </w:pPr>
            <w:r w:rsidRPr="007775FC">
              <w:rPr>
                <w:rFonts w:ascii="Arial" w:hAnsi="Arial" w:cs="Arial"/>
                <w:sz w:val="20"/>
                <w:szCs w:val="20"/>
              </w:rPr>
              <w:t>OK, but please consider these clarifications and additions.  Your explanation is helpful, and this language would add those details.</w:t>
            </w:r>
          </w:p>
        </w:tc>
        <w:tc>
          <w:tcPr>
            <w:tcW w:w="4050" w:type="dxa"/>
          </w:tcPr>
          <w:p w14:paraId="436A572D" w14:textId="46C54F5A" w:rsidR="001011F7" w:rsidRPr="007775FC" w:rsidRDefault="00CD1AD3" w:rsidP="001011F7">
            <w:pPr>
              <w:rPr>
                <w:rFonts w:ascii="Arial" w:hAnsi="Arial" w:cs="Arial"/>
                <w:sz w:val="20"/>
                <w:szCs w:val="20"/>
              </w:rPr>
            </w:pPr>
            <w:r w:rsidRPr="007775FC">
              <w:rPr>
                <w:rFonts w:ascii="Arial" w:hAnsi="Arial" w:cs="Arial"/>
                <w:sz w:val="20"/>
                <w:szCs w:val="20"/>
              </w:rPr>
              <w:t xml:space="preserve">Omitted “try” and reverted to “negotiate such that the amended LGIA can be executed prior to the suspension’s end.”  Removed the final sentence, as the added sentence is already implied in the </w:t>
            </w:r>
            <w:r w:rsidR="008B5D89" w:rsidRPr="007775FC">
              <w:rPr>
                <w:rFonts w:ascii="Arial" w:hAnsi="Arial" w:cs="Arial"/>
                <w:sz w:val="20"/>
                <w:szCs w:val="20"/>
              </w:rPr>
              <w:t xml:space="preserve">CAISO </w:t>
            </w:r>
            <w:r w:rsidRPr="007775FC">
              <w:rPr>
                <w:rFonts w:ascii="Arial" w:hAnsi="Arial" w:cs="Arial"/>
                <w:sz w:val="20"/>
                <w:szCs w:val="20"/>
              </w:rPr>
              <w:t xml:space="preserve">Tariff.  </w:t>
            </w:r>
          </w:p>
        </w:tc>
      </w:tr>
    </w:tbl>
    <w:p w14:paraId="35AC10E4" w14:textId="38E25AB2" w:rsidR="00C94E92" w:rsidRDefault="007775FC">
      <w:r w:rsidRPr="007775FC">
        <w:rPr>
          <w:rFonts w:ascii="Arial" w:hAnsi="Arial" w:cs="Arial"/>
          <w:noProof/>
          <w:sz w:val="20"/>
          <w:szCs w:val="20"/>
        </w:rPr>
        <mc:AlternateContent>
          <mc:Choice Requires="wps">
            <w:drawing>
              <wp:anchor distT="0" distB="0" distL="114300" distR="114300" simplePos="0" relativeHeight="251658240" behindDoc="0" locked="0" layoutInCell="1" allowOverlap="1" wp14:anchorId="69D4EC4B" wp14:editId="2D72D35F">
                <wp:simplePos x="0" y="0"/>
                <wp:positionH relativeFrom="margin">
                  <wp:align>left</wp:align>
                </wp:positionH>
                <wp:positionV relativeFrom="paragraph">
                  <wp:posOffset>270332</wp:posOffset>
                </wp:positionV>
                <wp:extent cx="3638282" cy="428625"/>
                <wp:effectExtent l="0" t="0" r="635" b="9525"/>
                <wp:wrapNone/>
                <wp:docPr id="2" name="Text Box 2"/>
                <wp:cNvGraphicFramePr/>
                <a:graphic xmlns:a="http://schemas.openxmlformats.org/drawingml/2006/main">
                  <a:graphicData uri="http://schemas.microsoft.com/office/word/2010/wordprocessingShape">
                    <wps:wsp>
                      <wps:cNvSpPr txBox="1"/>
                      <wps:spPr>
                        <a:xfrm>
                          <a:off x="0" y="0"/>
                          <a:ext cx="3638282" cy="428625"/>
                        </a:xfrm>
                        <a:prstGeom prst="rect">
                          <a:avLst/>
                        </a:prstGeom>
                        <a:solidFill>
                          <a:sysClr val="window" lastClr="FFFFFF"/>
                        </a:solidFill>
                        <a:ln w="6350">
                          <a:noFill/>
                        </a:ln>
                      </wps:spPr>
                      <wps:txbx>
                        <w:txbxContent>
                          <w:p w14:paraId="11A7368D" w14:textId="77777777" w:rsidR="007775FC" w:rsidRPr="007775FC" w:rsidRDefault="007775FC" w:rsidP="007775FC">
                            <w:pPr>
                              <w:rPr>
                                <w:rFonts w:ascii="Arial" w:hAnsi="Arial" w:cs="Arial"/>
                                <w:sz w:val="20"/>
                                <w:szCs w:val="20"/>
                              </w:rPr>
                            </w:pPr>
                            <w:r w:rsidRPr="007775FC">
                              <w:rPr>
                                <w:rFonts w:ascii="Arial" w:hAnsi="Arial" w:cs="Arial"/>
                                <w:sz w:val="20"/>
                                <w:szCs w:val="20"/>
                              </w:rPr>
                              <w:t xml:space="preserve">All other proposed edits from Stakeholders were accepted.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D4EC4B" id="_x0000_t202" coordsize="21600,21600" o:spt="202" path="m,l,21600r21600,l21600,xe">
                <v:stroke joinstyle="miter"/>
                <v:path gradientshapeok="t" o:connecttype="rect"/>
              </v:shapetype>
              <v:shape id="Text Box 2" o:spid="_x0000_s1026" type="#_x0000_t202" style="position:absolute;margin-left:0;margin-top:21.3pt;width:286.5pt;height:33.7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" fillcolor="window" stroked="f" strokeweight=".5pt">
                <v:textbox>
                  <w:txbxContent>
                    <w:p w14:paraId="11A7368D" w14:textId="77777777" w:rsidR="007775FC" w:rsidRPr="007775FC" w:rsidRDefault="007775FC" w:rsidP="007775FC">
                      <w:pPr>
                        <w:rPr>
                          <w:rFonts w:ascii="Arial" w:hAnsi="Arial" w:cs="Arial"/>
                          <w:sz w:val="20"/>
                          <w:szCs w:val="20"/>
                        </w:rPr>
                      </w:pPr>
                      <w:r w:rsidRPr="007775FC">
                        <w:rPr>
                          <w:rFonts w:ascii="Arial" w:hAnsi="Arial" w:cs="Arial"/>
                          <w:sz w:val="20"/>
                          <w:szCs w:val="20"/>
                        </w:rPr>
                        <w:t xml:space="preserve">All other proposed edits from Stakeholders were accepted.  </w:t>
                      </w:r>
                    </w:p>
                  </w:txbxContent>
                </v:textbox>
                <w10:wrap anchorx="margin"/>
              </v:shape>
            </w:pict>
          </mc:Fallback>
        </mc:AlternateContent>
      </w:r>
    </w:p>
    <w:p w14:paraId="3703A444" w14:textId="151A9C14" w:rsidR="007775FC" w:rsidRDefault="007775FC">
      <w:bookmarkStart w:id="1" w:name="_GoBack"/>
      <w:bookmarkEnd w:id="1"/>
    </w:p>
    <w:sectPr w:rsidR="007775FC" w:rsidSect="00D552D9">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D747B" w14:textId="77777777" w:rsidR="007775FC" w:rsidRDefault="007775FC" w:rsidP="00727C6A">
      <w:pPr>
        <w:spacing w:after="0" w:line="240" w:lineRule="auto"/>
      </w:pPr>
      <w:r>
        <w:separator/>
      </w:r>
    </w:p>
  </w:endnote>
  <w:endnote w:type="continuationSeparator" w:id="0">
    <w:p w14:paraId="032B4EE6" w14:textId="77777777" w:rsidR="007775FC" w:rsidRDefault="007775FC" w:rsidP="00727C6A">
      <w:pPr>
        <w:spacing w:after="0" w:line="240" w:lineRule="auto"/>
      </w:pPr>
      <w:r>
        <w:continuationSeparator/>
      </w:r>
    </w:p>
  </w:endnote>
  <w:endnote w:type="continuationNotice" w:id="1">
    <w:p w14:paraId="664BA364" w14:textId="77777777" w:rsidR="008179DE" w:rsidRDefault="00817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5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90"/>
      <w:gridCol w:w="5040"/>
      <w:gridCol w:w="2930"/>
      <w:gridCol w:w="2290"/>
    </w:tblGrid>
    <w:tr w:rsidR="007775FC" w:rsidRPr="003A430D" w14:paraId="59C1C6A5" w14:textId="77777777" w:rsidTr="00727C6A">
      <w:trPr>
        <w:gridBefore w:val="1"/>
        <w:wBefore w:w="2290" w:type="dxa"/>
        <w:trHeight w:val="490"/>
      </w:trPr>
      <w:tc>
        <w:tcPr>
          <w:tcW w:w="5040" w:type="dxa"/>
        </w:tcPr>
        <w:p w14:paraId="53D46BCA" w14:textId="488DE239" w:rsidR="007775FC" w:rsidRPr="003A430D" w:rsidRDefault="007775FC" w:rsidP="00727C6A">
          <w:pPr>
            <w:tabs>
              <w:tab w:val="left" w:pos="2115"/>
              <w:tab w:val="center" w:pos="4680"/>
              <w:tab w:val="right" w:pos="9360"/>
            </w:tabs>
            <w:spacing w:after="120"/>
            <w:rPr>
              <w:sz w:val="18"/>
              <w:szCs w:val="18"/>
            </w:rPr>
          </w:pPr>
          <w:r>
            <w:rPr>
              <w:noProof/>
              <w:sz w:val="20"/>
              <w:szCs w:val="20"/>
            </w:rPr>
            <mc:AlternateContent>
              <mc:Choice Requires="wps">
                <w:drawing>
                  <wp:anchor distT="4294967294" distB="4294967294" distL="114300" distR="114300" simplePos="0" relativeHeight="251658240" behindDoc="0" locked="0" layoutInCell="1" allowOverlap="1" wp14:anchorId="69766BBB" wp14:editId="7F0FD0C0">
                    <wp:simplePos x="0" y="0"/>
                    <wp:positionH relativeFrom="column">
                      <wp:posOffset>-85725</wp:posOffset>
                    </wp:positionH>
                    <wp:positionV relativeFrom="paragraph">
                      <wp:posOffset>-3811</wp:posOffset>
                    </wp:positionV>
                    <wp:extent cx="640397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9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325324" id="Straight Connector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3pt" to="4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" strokecolor="windowText">
                    <o:lock v:ext="edit" shapetype="f"/>
                  </v:line>
                </w:pict>
              </mc:Fallback>
            </mc:AlternateContent>
          </w:r>
        </w:p>
      </w:tc>
      <w:tc>
        <w:tcPr>
          <w:tcW w:w="5220" w:type="dxa"/>
          <w:gridSpan w:val="2"/>
        </w:tcPr>
        <w:p w14:paraId="1737FBC1" w14:textId="4616E4E4" w:rsidR="007775FC" w:rsidRPr="00135A08" w:rsidRDefault="007775FC" w:rsidP="00727C6A">
          <w:pPr>
            <w:tabs>
              <w:tab w:val="left" w:pos="2115"/>
              <w:tab w:val="center" w:pos="4680"/>
              <w:tab w:val="right" w:pos="9360"/>
            </w:tabs>
            <w:spacing w:after="120"/>
            <w:jc w:val="right"/>
            <w:rPr>
              <w:sz w:val="20"/>
              <w:szCs w:val="20"/>
            </w:rPr>
          </w:pPr>
        </w:p>
      </w:tc>
    </w:tr>
    <w:tr w:rsidR="007775FC" w:rsidRPr="003A430D" w14:paraId="51066405" w14:textId="77777777" w:rsidTr="00727C6A">
      <w:trPr>
        <w:gridAfter w:val="1"/>
        <w:wAfter w:w="2290" w:type="dxa"/>
        <w:trHeight w:val="277"/>
      </w:trPr>
      <w:sdt>
        <w:sdtPr>
          <w:rPr>
            <w:sz w:val="20"/>
            <w:szCs w:val="20"/>
          </w:rPr>
          <w:alias w:val="InfoSec Classification"/>
          <w:tag w:val="InfoSec Classification"/>
          <w:id w:val="15313492"/>
          <w:dataBinding w:prefixMappings="xmlns:ns0='http://schemas.microsoft.com/office/2006/metadata/properties' xmlns:ns1='http://www.w3.org/2001/XMLSchema-instance' xmlns:ns2='http://schemas.microsoft.com/office/infopath/2007/PartnerControls' xmlns:ns3='39c1fed3-252c-45ae-8637-c13efcb57add' xmlns:ns4='39c1fed3-252c-45ae-8637-c13efcb57add' xmlns:ns5='39c1fed3-252c-45ae-8637-c13efcb57add' xmlns:ns6='http://schemas.microsoft.com/sharepoint/v3/fields' " w:xpath="/ns0:properties[1]/documentManagement[1]/ns4:InfoSec_x0020_Classification[1]" w:storeItemID="{E59720A2-C893-4FEF-B53A-50CA25B9B510}"/>
          <w:dropDownList>
            <w:listItem w:value="[InfoSec Classification]"/>
          </w:dropDownList>
        </w:sdtPr>
        <w:sdtEndPr/>
        <w:sdtContent>
          <w:tc>
            <w:tcPr>
              <w:tcW w:w="10260" w:type="dxa"/>
              <w:gridSpan w:val="3"/>
            </w:tcPr>
            <w:p w14:paraId="79EE963C" w14:textId="77777777" w:rsidR="007775FC" w:rsidRPr="00135A08" w:rsidRDefault="007775FC" w:rsidP="00727C6A">
              <w:pPr>
                <w:tabs>
                  <w:tab w:val="left" w:pos="2115"/>
                  <w:tab w:val="center" w:pos="4680"/>
                  <w:tab w:val="right" w:pos="9360"/>
                </w:tabs>
                <w:spacing w:after="120"/>
                <w:rPr>
                  <w:sz w:val="20"/>
                  <w:szCs w:val="20"/>
                </w:rPr>
              </w:pPr>
              <w:r>
                <w:rPr>
                  <w:sz w:val="20"/>
                  <w:szCs w:val="20"/>
                </w:rPr>
                <w:t>Copyright 2019 California ISO</w:t>
              </w:r>
            </w:p>
          </w:tc>
        </w:sdtContent>
      </w:sdt>
    </w:tr>
  </w:tbl>
  <w:p w14:paraId="7D380721" w14:textId="18B072F8" w:rsidR="007775FC" w:rsidRPr="00D83815" w:rsidRDefault="007775FC" w:rsidP="00727C6A">
    <w:pPr>
      <w:tabs>
        <w:tab w:val="center" w:pos="4680"/>
        <w:tab w:val="right" w:pos="9630"/>
      </w:tabs>
      <w:jc w:val="right"/>
      <w:rPr>
        <w:sz w:val="12"/>
        <w:szCs w:val="12"/>
      </w:rPr>
    </w:pPr>
    <w:r w:rsidRPr="00D83815">
      <w:rPr>
        <w:sz w:val="12"/>
        <w:szCs w:val="12"/>
      </w:rPr>
      <w:tab/>
    </w:r>
    <w:r w:rsidRPr="00A224D9">
      <w:rPr>
        <w:sz w:val="16"/>
        <w:szCs w:val="16"/>
      </w:rPr>
      <w:t xml:space="preserve">Page </w:t>
    </w:r>
    <w:r w:rsidRPr="00A224D9">
      <w:rPr>
        <w:sz w:val="16"/>
        <w:szCs w:val="16"/>
      </w:rPr>
      <w:fldChar w:fldCharType="begin"/>
    </w:r>
    <w:r w:rsidRPr="00A224D9">
      <w:rPr>
        <w:sz w:val="16"/>
        <w:szCs w:val="16"/>
      </w:rPr>
      <w:instrText xml:space="preserve"> PAGE </w:instrText>
    </w:r>
    <w:r w:rsidRPr="00A224D9">
      <w:rPr>
        <w:sz w:val="16"/>
        <w:szCs w:val="16"/>
      </w:rPr>
      <w:fldChar w:fldCharType="separate"/>
    </w:r>
    <w:r w:rsidR="00E82712">
      <w:rPr>
        <w:noProof/>
        <w:sz w:val="16"/>
        <w:szCs w:val="16"/>
      </w:rPr>
      <w:t>1</w:t>
    </w:r>
    <w:r w:rsidRPr="00A224D9">
      <w:rPr>
        <w:sz w:val="16"/>
        <w:szCs w:val="16"/>
      </w:rPr>
      <w:fldChar w:fldCharType="end"/>
    </w:r>
    <w:r w:rsidRPr="00A224D9">
      <w:rPr>
        <w:sz w:val="16"/>
        <w:szCs w:val="16"/>
      </w:rPr>
      <w:t xml:space="preserve"> of </w:t>
    </w:r>
    <w:r w:rsidRPr="00A224D9">
      <w:rPr>
        <w:sz w:val="16"/>
        <w:szCs w:val="16"/>
      </w:rPr>
      <w:fldChar w:fldCharType="begin"/>
    </w:r>
    <w:r w:rsidRPr="00A224D9">
      <w:rPr>
        <w:sz w:val="16"/>
        <w:szCs w:val="16"/>
      </w:rPr>
      <w:instrText xml:space="preserve"> NUMPAGES </w:instrText>
    </w:r>
    <w:r w:rsidRPr="00A224D9">
      <w:rPr>
        <w:sz w:val="16"/>
        <w:szCs w:val="16"/>
      </w:rPr>
      <w:fldChar w:fldCharType="separate"/>
    </w:r>
    <w:r w:rsidR="00E82712">
      <w:rPr>
        <w:noProof/>
        <w:sz w:val="16"/>
        <w:szCs w:val="16"/>
      </w:rPr>
      <w:t>2</w:t>
    </w:r>
    <w:r w:rsidRPr="00A224D9">
      <w:rPr>
        <w:sz w:val="16"/>
        <w:szCs w:val="16"/>
      </w:rPr>
      <w:fldChar w:fldCharType="end"/>
    </w:r>
  </w:p>
  <w:p w14:paraId="1BD8749C" w14:textId="77777777" w:rsidR="007775FC" w:rsidRDefault="00777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AF45B" w14:textId="77777777" w:rsidR="007775FC" w:rsidRDefault="007775FC" w:rsidP="00727C6A">
      <w:pPr>
        <w:spacing w:after="0" w:line="240" w:lineRule="auto"/>
      </w:pPr>
      <w:r>
        <w:separator/>
      </w:r>
    </w:p>
  </w:footnote>
  <w:footnote w:type="continuationSeparator" w:id="0">
    <w:p w14:paraId="7F6A781D" w14:textId="77777777" w:rsidR="007775FC" w:rsidRDefault="007775FC" w:rsidP="00727C6A">
      <w:pPr>
        <w:spacing w:after="0" w:line="240" w:lineRule="auto"/>
      </w:pPr>
      <w:r>
        <w:continuationSeparator/>
      </w:r>
    </w:p>
  </w:footnote>
  <w:footnote w:type="continuationNotice" w:id="1">
    <w:p w14:paraId="551CC8D4" w14:textId="77777777" w:rsidR="008179DE" w:rsidRDefault="008179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0102"/>
    <w:multiLevelType w:val="hybridMultilevel"/>
    <w:tmpl w:val="C088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8A"/>
    <w:rsid w:val="000F188A"/>
    <w:rsid w:val="001011F7"/>
    <w:rsid w:val="001F1B04"/>
    <w:rsid w:val="002433C8"/>
    <w:rsid w:val="002719C1"/>
    <w:rsid w:val="003175CB"/>
    <w:rsid w:val="003A46DE"/>
    <w:rsid w:val="003D5FEE"/>
    <w:rsid w:val="00425C25"/>
    <w:rsid w:val="005603B1"/>
    <w:rsid w:val="00683A56"/>
    <w:rsid w:val="00703871"/>
    <w:rsid w:val="00727C6A"/>
    <w:rsid w:val="00772811"/>
    <w:rsid w:val="007775FC"/>
    <w:rsid w:val="007D337C"/>
    <w:rsid w:val="007E278D"/>
    <w:rsid w:val="008179DE"/>
    <w:rsid w:val="008B5D89"/>
    <w:rsid w:val="00AC3901"/>
    <w:rsid w:val="00B61E3E"/>
    <w:rsid w:val="00BB5252"/>
    <w:rsid w:val="00BF70B9"/>
    <w:rsid w:val="00C94E92"/>
    <w:rsid w:val="00CD1AD3"/>
    <w:rsid w:val="00D552D9"/>
    <w:rsid w:val="00E00029"/>
    <w:rsid w:val="00E82712"/>
    <w:rsid w:val="00F14007"/>
    <w:rsid w:val="00F169D0"/>
    <w:rsid w:val="00F93212"/>
    <w:rsid w:val="00FA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B0229"/>
  <w15:chartTrackingRefBased/>
  <w15:docId w15:val="{49C64434-8AEB-434F-B9C8-BAA78477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8A"/>
    <w:rPr>
      <w:rFonts w:ascii="Segoe UI" w:hAnsi="Segoe UI" w:cs="Segoe UI"/>
      <w:sz w:val="18"/>
      <w:szCs w:val="18"/>
    </w:rPr>
  </w:style>
  <w:style w:type="paragraph" w:styleId="CommentText">
    <w:name w:val="annotation text"/>
    <w:basedOn w:val="Normal"/>
    <w:link w:val="CommentTextChar"/>
    <w:rsid w:val="000F188A"/>
    <w:pPr>
      <w:spacing w:after="12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0F188A"/>
    <w:rPr>
      <w:rFonts w:ascii="Arial" w:eastAsia="Times New Roman" w:hAnsi="Arial" w:cs="Times New Roman"/>
      <w:sz w:val="20"/>
      <w:szCs w:val="20"/>
    </w:rPr>
  </w:style>
  <w:style w:type="character" w:styleId="CommentReference">
    <w:name w:val="annotation reference"/>
    <w:rsid w:val="000F188A"/>
    <w:rPr>
      <w:sz w:val="16"/>
      <w:szCs w:val="16"/>
    </w:rPr>
  </w:style>
  <w:style w:type="paragraph" w:styleId="ListParagraph">
    <w:name w:val="List Paragraph"/>
    <w:basedOn w:val="Normal"/>
    <w:uiPriority w:val="34"/>
    <w:qFormat/>
    <w:rsid w:val="001011F7"/>
    <w:pPr>
      <w:ind w:left="720"/>
      <w:contextualSpacing/>
    </w:pPr>
  </w:style>
  <w:style w:type="paragraph" w:styleId="Header">
    <w:name w:val="header"/>
    <w:basedOn w:val="Normal"/>
    <w:link w:val="HeaderChar"/>
    <w:uiPriority w:val="99"/>
    <w:unhideWhenUsed/>
    <w:rsid w:val="0072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C6A"/>
  </w:style>
  <w:style w:type="paragraph" w:styleId="Footer">
    <w:name w:val="footer"/>
    <w:basedOn w:val="Normal"/>
    <w:link w:val="FooterChar"/>
    <w:uiPriority w:val="99"/>
    <w:unhideWhenUsed/>
    <w:rsid w:val="0072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Strouse, Nancy</DisplayName>
        <AccountId>469</AccountId>
        <AccountType/>
      </UserInfo>
    </Doc_x0020_Owner>
    <Doc_x0020_Status xmlns="e6671a59-50a7-4167-890c-836f7535b734">Draft</Doc_x0020_Status>
    <_dlc_DocIdPersistId xmlns="dcc7e218-8b47-4273-ba28-07719656e1ad" xsi:nil="true"/>
    <TaxCatchAll xmlns="2e64aaae-efe8-4b36-9ab4-486f04499e09"/>
    <CSMeta2010Field xmlns="http://schemas.microsoft.com/sharepoint/v3">8e426050-26f2-4872-bdba-ef09f091be15;2019-07-25 14:07:30;AUTOCLASSIFIED;Automatically Updated Record Series:2019-07-25 14:07:30|False||AUTOCLASSIFIED|2019-07-25 14:07:30|UNDEFINED|00000000-0000-0000-0000-000000000000;Automatically Updated Document Type:2019-07-25 14:07:30|False||AUTOCLASSIFIED|2019-07-25 14:07:30|UNDEFINED|00000000-0000-0000-0000-000000000000;Automatically Updated Topic:2019-07-25 14:07:30|False||AUTOCLASSIFIED|2019-07-25 14:07:30|UNDEFINED|00000000-0000-0000-0000-000000000000;False</CSMeta2010Field>
    <Division xmlns="e6671a59-50a7-4167-890c-836f7535b734">Market and Infrastructure Development</Division>
    <Date_x0020_Became_x0020_Record xmlns="e6671a59-50a7-4167-890c-836f7535b734">2019-07-24T15:16:38+00:00</Date_x0020_Became_x0020_Record>
    <InfoSec_x0020_Classification xmlns="e6671a59-50a7-4167-890c-836f7535b734">California ISO INTERNAL USE. For use by all authorized California ISO personnel. Do not release or disclose outside the California ISO.</InfoSec_x0020_Classification>
    <ac6042663e6544a5b5f6c47baa21cbec xmlns="2e64aaae-efe8-4b36-9ab4-486f04499e09">
      <Terms xmlns="http://schemas.microsoft.com/office/infopath/2007/PartnerControls"/>
    </ac6042663e6544a5b5f6c47baa21cbec>
    <mb7a63be961241008d728fcf8db72869 xmlns="2e64aaae-efe8-4b36-9ab4-486f04499e09">
      <Terms xmlns="http://schemas.microsoft.com/office/infopath/2007/PartnerControls"/>
    </mb7a63be961241008d728fcf8db72869>
    <ISO_x0020_Department xmlns="e6671a59-50a7-4167-890c-836f7535b734">Infrastructure Contracts and Management</ISO_x0020_Department>
    <b096d808b59a41b7a526eb1052d792f3 xmlns="2e64aaae-efe8-4b36-9ab4-486f04499e09">
      <Terms xmlns="http://schemas.microsoft.com/office/infopath/2007/PartnerControls"/>
    </b096d808b59a41b7a526eb1052d792f3>
    <_dlc_DocId xmlns="dcc7e218-8b47-4273-ba28-07719656e1ad">XWK2E22ZZR56-54-18895</_dlc_DocId>
    <_dlc_DocIdUrl xmlns="dcc7e218-8b47-4273-ba28-07719656e1ad">
      <Url>https://records.oa.caiso.com/sites/MID/ICM/_layouts/15/DocIdRedir.aspx?ID=XWK2E22ZZR56-54-18895</Url>
      <Description>XWK2E22ZZR56-54-18895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ISO Document" ma:contentTypeID="0x010100B72ED250C60CFC47AE0A3A0E894079260010C6A02BA19CB443A0A55C149AC4F90B" ma:contentTypeVersion="83" ma:contentTypeDescription="" ma:contentTypeScope="" ma:versionID="acf2a9de8c37bda9fadddd474eba6975">
  <xsd:schema xmlns:xsd="http://www.w3.org/2001/XMLSchema" xmlns:xs="http://www.w3.org/2001/XMLSchema" xmlns:p="http://schemas.microsoft.com/office/2006/metadata/properties" xmlns:ns1="http://schemas.microsoft.com/sharepoint/v3" xmlns:ns2="e6671a59-50a7-4167-890c-836f7535b734" xmlns:ns3="dcc7e218-8b47-4273-ba28-07719656e1ad" xmlns:ns4="2e64aaae-efe8-4b36-9ab4-486f04499e09" targetNamespace="http://schemas.microsoft.com/office/2006/metadata/properties" ma:root="true" ma:fieldsID="3baf0ea10e12073ecd488044544e2d68" ns1:_="" ns2:_="" ns3:_="" ns4:_="">
    <xsd:import namespace="http://schemas.microsoft.com/sharepoint/v3"/>
    <xsd:import namespace="e6671a59-50a7-4167-890c-836f7535b734"/>
    <xsd:import namespace="dcc7e218-8b47-4273-ba28-07719656e1ad"/>
    <xsd:import namespace="2e64aaae-efe8-4b36-9ab4-486f04499e09"/>
    <xsd:element name="properties">
      <xsd:complexType>
        <xsd:sequence>
          <xsd:element name="documentManagement">
            <xsd:complexType>
              <xsd:all>
                <xsd:element ref="ns2:Doc_x0020_Owner" minOccurs="0"/>
                <xsd:element ref="ns2:Doc_x0020_Status"/>
                <xsd:element ref="ns2:InfoSec_x0020_Classification" minOccurs="0"/>
                <xsd:element ref="ns2:ISO_x0020_Department" minOccurs="0"/>
                <xsd:element ref="ns2:Date_x0020_Became_x0020_Record" minOccurs="0"/>
                <xsd:element ref="ns3:_dlc_DocIdUrl" minOccurs="0"/>
                <xsd:element ref="ns3:_dlc_DocIdPersistId" minOccurs="0"/>
                <xsd:element ref="ns3:_dlc_DocId" minOccurs="0"/>
                <xsd:element ref="ns2:Division"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6"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ate_x0020_Became_x0020_Record" ma:index="6" nillable="true" ma:displayName="Date Became Record" ma:default="[today]" ma:description="" ma:format="DateOnly" ma:hidden="true" ma:internalName="Date_x0020_Became_x0020_Record" ma:readOnly="false">
      <xsd:simpleType>
        <xsd:restriction base="dms:DateTime"/>
      </xsd:simpleType>
    </xsd:element>
    <xsd:element name="Division" ma:index="16" nillable="true" ma:displayName="ISO Division" ma:default="Market and Infrastructure Development"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8"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2"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4"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5D43B-4685-4D3E-BBB4-2A68CBABA71F}">
  <ds:schemaRefs>
    <ds:schemaRef ds:uri="http://schemas.microsoft.com/sharepoint/events"/>
  </ds:schemaRefs>
</ds:datastoreItem>
</file>

<file path=customXml/itemProps2.xml><?xml version="1.0" encoding="utf-8"?>
<ds:datastoreItem xmlns:ds="http://schemas.openxmlformats.org/officeDocument/2006/customXml" ds:itemID="{31F81601-3277-41AF-AB35-656149A355A1}">
  <ds:schemaRefs>
    <ds:schemaRef ds:uri="http://schemas.microsoft.com/sharepoint/v3/contenttype/forms"/>
  </ds:schemaRefs>
</ds:datastoreItem>
</file>

<file path=customXml/itemProps3.xml><?xml version="1.0" encoding="utf-8"?>
<ds:datastoreItem xmlns:ds="http://schemas.openxmlformats.org/officeDocument/2006/customXml" ds:itemID="{F1FE7222-E612-4400-A130-731D812B6792}">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e64aaae-efe8-4b36-9ab4-486f04499e09"/>
    <ds:schemaRef ds:uri="dcc7e218-8b47-4273-ba28-07719656e1ad"/>
    <ds:schemaRef ds:uri="e6671a59-50a7-4167-890c-836f7535b734"/>
    <ds:schemaRef ds:uri="http://www.w3.org/XML/1998/namespace"/>
    <ds:schemaRef ds:uri="http://purl.org/dc/dcmitype/"/>
  </ds:schemaRefs>
</ds:datastoreItem>
</file>

<file path=customXml/itemProps4.xml><?xml version="1.0" encoding="utf-8"?>
<ds:datastoreItem xmlns:ds="http://schemas.openxmlformats.org/officeDocument/2006/customXml" ds:itemID="{642E6C10-E8F6-4090-938D-254B237B2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71a59-50a7-4167-890c-836f7535b734"/>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BBF5C77D</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CAISO</dc:creator>
  <cp:keywords/>
  <dc:description/>
  <cp:lastModifiedBy>CAISO</cp:lastModifiedBy>
  <cp:revision>2</cp:revision>
  <dcterms:created xsi:type="dcterms:W3CDTF">2019-07-26T23:11:00Z</dcterms:created>
  <dcterms:modified xsi:type="dcterms:W3CDTF">2019-07-26T23:11:00Z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0x010100B72ED250C60CFC47AE0A3A0E894079260010C6A02BA19CB443A0A55C149AC4F90B</vt:lpwstr>
  </property>
  <property fmtid="{D5CDD505-2E9C-101B-9397-08002B2CF9AE}" pid="3" name="_dlc_DocIdItemGuid">
    <vt:lpwstr>c5065170-66c8-444a-ba04-fd5b9928add7</vt:lpwstr>
  </property>
  <property fmtid="{D5CDD505-2E9C-101B-9397-08002B2CF9AE}" pid="4" name="AutoClassRecordSeries">
    <vt:lpwstr/>
  </property>
  <property fmtid="{D5CDD505-2E9C-101B-9397-08002B2CF9AE}" pid="5" name="AutoClassDocumentType">
    <vt:lpwstr/>
  </property>
  <property fmtid="{D5CDD505-2E9C-101B-9397-08002B2CF9AE}" pid="6" name="AutoClassTopic">
    <vt:lpwstr/>
  </property>
</Properties>
</file>